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06" w:rsidRDefault="003877AD">
      <w:pPr>
        <w:ind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Додаткова Угода до Агентського Договору № _____________ від _____________</w:t>
      </w:r>
    </w:p>
    <w:p w:rsidR="00260C06" w:rsidRDefault="003877AD">
      <w:pPr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ТФ «Гал-Круїз»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uk-UA"/>
        </w:rPr>
        <w:t xml:space="preserve"> ПП «Ростик», іменоване надалі «Туроператор», в особі Генерального директора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Маскаль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Ірини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Теодеївни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, яка діє на підставі Статуту та відповідно до ліцензії № 566545 </w:t>
      </w:r>
      <w:r>
        <w:rPr>
          <w:rFonts w:ascii="Arial" w:hAnsi="Arial" w:cs="Arial"/>
          <w:sz w:val="20"/>
          <w:szCs w:val="20"/>
          <w:lang w:val="uk-UA"/>
        </w:rPr>
        <w:t>АВ від 22.03.2011р, з однієї сторони, та _____________________________________________________, іменоване надалі „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Турагент</w:t>
      </w:r>
      <w:proofErr w:type="spellEnd"/>
      <w:r>
        <w:rPr>
          <w:rFonts w:ascii="Arial" w:hAnsi="Arial" w:cs="Arial"/>
          <w:sz w:val="20"/>
          <w:szCs w:val="20"/>
          <w:lang w:val="uk-UA"/>
        </w:rPr>
        <w:t>”, в особі____________________________________________________________________,</w:t>
      </w:r>
    </w:p>
    <w:p w:rsidR="00260C06" w:rsidRDefault="003877AD">
      <w:pPr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який діє на підставі _____________________________, з </w:t>
      </w:r>
      <w:r>
        <w:rPr>
          <w:rFonts w:ascii="Arial" w:hAnsi="Arial" w:cs="Arial"/>
          <w:sz w:val="20"/>
          <w:szCs w:val="20"/>
          <w:lang w:val="uk-UA"/>
        </w:rPr>
        <w:t>іншої сторони, керуючись п. 10.6 Договору, уклали цю Додаткову Угоду про зміну окремих положень Агентського договору, та додаткових умов:</w:t>
      </w:r>
    </w:p>
    <w:p w:rsidR="00260C06" w:rsidRDefault="003877AD">
      <w:pPr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1. Відповідно до досягнених домовленостей, пункти 1.16, 6.2.3, 6.2.4 Агентського договору, викласти у наступній редакц</w:t>
      </w:r>
      <w:r>
        <w:rPr>
          <w:rFonts w:ascii="Arial" w:hAnsi="Arial" w:cs="Arial"/>
          <w:sz w:val="20"/>
          <w:szCs w:val="20"/>
          <w:lang w:val="uk-UA"/>
        </w:rPr>
        <w:t>ії:</w:t>
      </w:r>
    </w:p>
    <w:p w:rsidR="00260C06" w:rsidRDefault="003877AD">
      <w:pPr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1.16 «Раннє бронювання» - різновид пропозиції туристичних продуктів та послуг, при якому за рахунок завчасного замовлення туристичних продуктів та послуг (місяць і більше) туроператор має можливість запропонувати нижчу вартість туристичного продукту. У</w:t>
      </w:r>
      <w:r>
        <w:rPr>
          <w:rFonts w:ascii="Arial" w:eastAsia="Arial" w:hAnsi="Arial" w:cs="Arial"/>
          <w:sz w:val="20"/>
          <w:szCs w:val="20"/>
          <w:lang w:val="uk-UA"/>
        </w:rPr>
        <w:t xml:space="preserve"> зв’язку із необхідністю покриття ризиків, та забезпечення виплати можливих штрафних санкцій постачальникам готельних та інших послуг що входять у вартість таких туристичних продуктів, Туристичні продукти, замовлені на умовах «раннього бронювання»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анульову</w:t>
      </w:r>
      <w:r>
        <w:rPr>
          <w:rFonts w:ascii="Arial" w:eastAsia="Arial" w:hAnsi="Arial" w:cs="Arial"/>
          <w:sz w:val="20"/>
          <w:szCs w:val="20"/>
          <w:lang w:val="uk-UA"/>
        </w:rPr>
        <w:t>ються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у відповідності до п. 6.2.4. Договору</w:t>
      </w:r>
    </w:p>
    <w:p w:rsidR="00260C06" w:rsidRDefault="003877AD">
      <w:pPr>
        <w:spacing w:line="235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6.2.3. У випадку анулювання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Турагентом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раніше поданого Замовлення штрафні санкції (неустойка) за порушення виконання зобов’язань за Договором, для компенсації понесених Туроператором витрат по бронюванню, сплаті </w:t>
      </w:r>
      <w:r>
        <w:rPr>
          <w:rFonts w:ascii="Arial" w:eastAsia="Arial" w:hAnsi="Arial" w:cs="Arial"/>
          <w:sz w:val="20"/>
          <w:szCs w:val="20"/>
          <w:lang w:val="uk-UA"/>
        </w:rPr>
        <w:t xml:space="preserve">штрафних санкції зі сторони перевізників та готелів, а також втраченої вигоди, пов’язаної із неможливістю реалізації даного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Турпродукту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іншим Туристам в короткий період до початку туристичної подорожі, для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Турагента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складають:</w:t>
      </w:r>
    </w:p>
    <w:p w:rsidR="00260C06" w:rsidRDefault="003877AD">
      <w:pPr>
        <w:numPr>
          <w:ilvl w:val="0"/>
          <w:numId w:val="1"/>
        </w:numPr>
        <w:tabs>
          <w:tab w:val="left" w:pos="168"/>
        </w:tabs>
        <w:spacing w:after="0" w:line="230" w:lineRule="auto"/>
        <w:ind w:right="70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У випадку відмови туриста від</w:t>
      </w:r>
      <w:r>
        <w:rPr>
          <w:rFonts w:ascii="Arial" w:eastAsia="Arial" w:hAnsi="Arial" w:cs="Arial"/>
          <w:sz w:val="20"/>
          <w:szCs w:val="20"/>
          <w:lang w:val="uk-UA"/>
        </w:rPr>
        <w:t xml:space="preserve"> заброньованих туристичних послуг більш ніж за 30 робочих днів до початку туристичної подорожі – 10 % вартості туристичного продукту, але не менше ніж 10 євро за одного туриста;</w:t>
      </w:r>
    </w:p>
    <w:p w:rsidR="00260C06" w:rsidRDefault="00260C06">
      <w:pPr>
        <w:spacing w:line="19" w:lineRule="exact"/>
        <w:ind w:firstLine="709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260C06" w:rsidRDefault="003877AD">
      <w:pPr>
        <w:numPr>
          <w:ilvl w:val="0"/>
          <w:numId w:val="1"/>
        </w:numPr>
        <w:tabs>
          <w:tab w:val="left" w:pos="168"/>
        </w:tabs>
        <w:spacing w:after="0" w:line="230" w:lineRule="auto"/>
        <w:ind w:right="70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У випадку відмови туриста від заброньованих туристичних послуг від 30 до 20 р</w:t>
      </w:r>
      <w:r>
        <w:rPr>
          <w:rFonts w:ascii="Arial" w:eastAsia="Arial" w:hAnsi="Arial" w:cs="Arial"/>
          <w:sz w:val="20"/>
          <w:szCs w:val="20"/>
          <w:lang w:val="uk-UA"/>
        </w:rPr>
        <w:t>обочих днів до початку туристичної подорожі – 20 % вартості туристичного продукту;</w:t>
      </w:r>
    </w:p>
    <w:p w:rsidR="00260C06" w:rsidRDefault="00260C06">
      <w:pPr>
        <w:spacing w:line="13" w:lineRule="exact"/>
        <w:ind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</w:p>
    <w:p w:rsidR="00260C06" w:rsidRDefault="003877AD">
      <w:pPr>
        <w:numPr>
          <w:ilvl w:val="0"/>
          <w:numId w:val="1"/>
        </w:numPr>
        <w:tabs>
          <w:tab w:val="left" w:pos="175"/>
        </w:tabs>
        <w:spacing w:after="0" w:line="230" w:lineRule="auto"/>
        <w:ind w:right="80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У випадку відмови туриста від заброньованих туристичних послуг від 21 до 9 робочих днів до початку туристичної подорожі – 70 % вартості туристичного продукту;</w:t>
      </w:r>
    </w:p>
    <w:p w:rsidR="00260C06" w:rsidRDefault="00260C06">
      <w:pPr>
        <w:spacing w:line="16" w:lineRule="exact"/>
        <w:ind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</w:p>
    <w:p w:rsidR="00260C06" w:rsidRDefault="003877AD">
      <w:pPr>
        <w:numPr>
          <w:ilvl w:val="0"/>
          <w:numId w:val="1"/>
        </w:numPr>
        <w:tabs>
          <w:tab w:val="left" w:pos="137"/>
        </w:tabs>
        <w:spacing w:after="0" w:line="230" w:lineRule="auto"/>
        <w:ind w:right="2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У випадку ві</w:t>
      </w:r>
      <w:r>
        <w:rPr>
          <w:rFonts w:ascii="Arial" w:eastAsia="Arial" w:hAnsi="Arial" w:cs="Arial"/>
          <w:sz w:val="20"/>
          <w:szCs w:val="20"/>
          <w:lang w:val="uk-UA"/>
        </w:rPr>
        <w:t>дмови туриста від заброньованих туристичних послуг в термін менше 8 робочих днів до початку туристичної подорожі – 100 % вартості туристичного продукту.</w:t>
      </w:r>
    </w:p>
    <w:p w:rsidR="00260C06" w:rsidRDefault="00260C06">
      <w:pPr>
        <w:spacing w:line="18" w:lineRule="exact"/>
        <w:ind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</w:p>
    <w:p w:rsidR="00260C06" w:rsidRDefault="003877AD">
      <w:pPr>
        <w:spacing w:line="232" w:lineRule="auto"/>
        <w:ind w:right="20" w:firstLine="709"/>
        <w:jc w:val="both"/>
        <w:rPr>
          <w:rFonts w:ascii="Arial" w:eastAsia="Arial" w:hAnsi="Arial" w:cs="Arial"/>
          <w:b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Якщо це передбачено спеціальними тарифами авіаквитків на регулярні авіарейси або спеціальними умовами турів, або вартістю квитків на чартерні авіарейси, то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зобов’язаний відшкодувати і збитки, які перевищують штрафні санкції, вказані в таблиці дано</w:t>
      </w:r>
      <w:r>
        <w:rPr>
          <w:rFonts w:ascii="Arial" w:eastAsia="Arial" w:hAnsi="Arial" w:cs="Arial"/>
          <w:sz w:val="20"/>
          <w:szCs w:val="20"/>
          <w:lang w:val="uk-UA"/>
        </w:rPr>
        <w:t xml:space="preserve">го пункту. При цьому слід мати на увазі, що тариф авіаквитків на чартерні та регулярні авіарейси є таким, що </w:t>
      </w:r>
      <w:r>
        <w:rPr>
          <w:rFonts w:ascii="Arial" w:eastAsia="Arial" w:hAnsi="Arial" w:cs="Arial"/>
          <w:b/>
          <w:sz w:val="20"/>
          <w:szCs w:val="20"/>
          <w:lang w:val="uk-UA"/>
        </w:rPr>
        <w:t>не повертається.</w:t>
      </w:r>
    </w:p>
    <w:p w:rsidR="00260C06" w:rsidRDefault="003877AD">
      <w:pPr>
        <w:spacing w:line="232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6.2.4. При відмові ТУРИСТА від заброньованих туристичних послуг що припадають на період Новорічних, Різдвяних свят, виставок, ярма</w:t>
      </w:r>
      <w:r>
        <w:rPr>
          <w:rFonts w:ascii="Arial" w:eastAsia="Arial" w:hAnsi="Arial" w:cs="Arial"/>
          <w:sz w:val="20"/>
          <w:szCs w:val="20"/>
          <w:lang w:val="uk-UA"/>
        </w:rPr>
        <w:t>рків, фестивалів, масових заходів що сприяють збільшенню потоку туристів до країни проведення таких масових заходів (тобто тури що повністю або частково (один день і більше) припадають на період з 24 грудня по 10 січня; з 20 березня по 2 квітня; з 25 квітн</w:t>
      </w:r>
      <w:r>
        <w:rPr>
          <w:rFonts w:ascii="Arial" w:eastAsia="Arial" w:hAnsi="Arial" w:cs="Arial"/>
          <w:sz w:val="20"/>
          <w:szCs w:val="20"/>
          <w:lang w:val="uk-UA"/>
        </w:rPr>
        <w:t>я по 13 травня; з 22 жовтня по 12 листопада, а також на державні свята України або у дні проведення на території країни перебування заходів), в тому числі туристичні продукти придбані на умовах «раннього бронювання», придбані на умовах «спецзамовлення», «к</w:t>
      </w:r>
      <w:r>
        <w:rPr>
          <w:rFonts w:ascii="Arial" w:eastAsia="Arial" w:hAnsi="Arial" w:cs="Arial"/>
          <w:sz w:val="20"/>
          <w:szCs w:val="20"/>
          <w:lang w:val="uk-UA"/>
        </w:rPr>
        <w:t xml:space="preserve">орпоративного замовлення», а також туристичні продукти що формуються за індивідуальними замовленнями і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т.п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>. штрафні санкції не залежать від термінів відмов, передбачених п. 6.2.3. цього Договору, та становлять 100% (сто відсотків) загальної суми замовлення</w:t>
      </w:r>
      <w:r>
        <w:rPr>
          <w:rFonts w:ascii="Arial" w:eastAsia="Arial" w:hAnsi="Arial" w:cs="Arial"/>
          <w:sz w:val="20"/>
          <w:szCs w:val="20"/>
          <w:lang w:val="uk-UA"/>
        </w:rPr>
        <w:t>.</w:t>
      </w:r>
    </w:p>
    <w:p w:rsidR="00260C06" w:rsidRDefault="003877AD">
      <w:pPr>
        <w:spacing w:line="232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При підрахунку строку, за який відбувається відмова від замовленого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турпродукту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>, дні вильоту та ануляції не враховуються!</w:t>
      </w:r>
    </w:p>
    <w:p w:rsidR="00260C06" w:rsidRDefault="003877AD">
      <w:pPr>
        <w:spacing w:line="232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Непокритими неустойкою (штрафом), що вказані вище, є витрати на авіаперевезення, що були у складі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турпродукту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, а також консульський </w:t>
      </w:r>
      <w:r>
        <w:rPr>
          <w:rFonts w:ascii="Arial" w:eastAsia="Arial" w:hAnsi="Arial" w:cs="Arial"/>
          <w:sz w:val="20"/>
          <w:szCs w:val="20"/>
          <w:lang w:val="uk-UA"/>
        </w:rPr>
        <w:t>збір, якщо такий збір сплачувався.</w:t>
      </w:r>
    </w:p>
    <w:p w:rsidR="00260C06" w:rsidRDefault="003877AD">
      <w:pPr>
        <w:spacing w:line="232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При відмові від туристичної послуги, яка була замовлена не у складі туристичного продукту, а як елемент до індивідуального туру, наприклад: авіаперевезення, проживання в готелі, трансфер, </w:t>
      </w:r>
      <w:r>
        <w:rPr>
          <w:rFonts w:ascii="Arial" w:eastAsia="Arial" w:hAnsi="Arial" w:cs="Arial"/>
          <w:sz w:val="20"/>
          <w:szCs w:val="20"/>
          <w:lang w:val="uk-UA"/>
        </w:rPr>
        <w:lastRenderedPageBreak/>
        <w:t>розмір неустойки (штрафу), а тако</w:t>
      </w:r>
      <w:r>
        <w:rPr>
          <w:rFonts w:ascii="Arial" w:eastAsia="Arial" w:hAnsi="Arial" w:cs="Arial"/>
          <w:sz w:val="20"/>
          <w:szCs w:val="20"/>
          <w:lang w:val="uk-UA"/>
        </w:rPr>
        <w:t xml:space="preserve">ж інших турах, повідомляється Замовнику/Туристу у письмовій формі при замовленні такої послуги. </w:t>
      </w:r>
    </w:p>
    <w:p w:rsidR="00260C06" w:rsidRDefault="003877AD">
      <w:pPr>
        <w:spacing w:line="232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 Розмір неустойки, розрахованої по зазначеними вище показникам є орієнтиром для обчислення збитків (витрат) Туроператора при анулюванні замовлення в певний пер</w:t>
      </w:r>
      <w:r>
        <w:rPr>
          <w:rFonts w:ascii="Arial" w:eastAsia="Arial" w:hAnsi="Arial" w:cs="Arial"/>
          <w:sz w:val="20"/>
          <w:szCs w:val="20"/>
          <w:lang w:val="uk-UA"/>
        </w:rPr>
        <w:t>іод до дня отримання послуг. Проте, визначена наперед сума збитків може бути змінена Туроператором до суми його фактичних витрат по виконанню такого замовлення після з’ясування суми цих витрат."</w:t>
      </w:r>
    </w:p>
    <w:p w:rsidR="00260C06" w:rsidRDefault="003877AD">
      <w:pPr>
        <w:spacing w:line="244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У випадку настання одночасно таких обставин, як: а) відсутніс</w:t>
      </w:r>
      <w:r>
        <w:rPr>
          <w:rFonts w:ascii="Arial" w:eastAsia="Arial" w:hAnsi="Arial" w:cs="Arial"/>
          <w:sz w:val="20"/>
          <w:szCs w:val="20"/>
          <w:lang w:val="uk-UA"/>
        </w:rPr>
        <w:t xml:space="preserve">ть Анулювання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Турагента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; б) відсутність оплати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Турагентом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Турпродукту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; в) неявка туриста на рейс, на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Турагента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накладається штраф у розмірі 100 (сто) відсотків від загальної вартості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Турпродукту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(з урахуванням положень підпункту 6.2.5. цього Договору).</w:t>
      </w:r>
    </w:p>
    <w:p w:rsidR="00260C06" w:rsidRDefault="003877AD">
      <w:pPr>
        <w:spacing w:line="244" w:lineRule="auto"/>
        <w:ind w:right="20" w:firstLine="709"/>
        <w:jc w:val="both"/>
        <w:rPr>
          <w:rFonts w:ascii="Arial" w:eastAsia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 xml:space="preserve">2. </w:t>
      </w:r>
      <w:proofErr w:type="spellStart"/>
      <w:r>
        <w:rPr>
          <w:rFonts w:ascii="Arial" w:eastAsia="Arial" w:hAnsi="Arial" w:cs="Arial"/>
          <w:sz w:val="20"/>
          <w:szCs w:val="20"/>
          <w:lang w:val="uk-UA"/>
        </w:rPr>
        <w:t>Турагент</w:t>
      </w:r>
      <w:proofErr w:type="spellEnd"/>
      <w:r>
        <w:rPr>
          <w:rFonts w:ascii="Arial" w:eastAsia="Arial" w:hAnsi="Arial" w:cs="Arial"/>
          <w:sz w:val="20"/>
          <w:szCs w:val="20"/>
          <w:lang w:val="uk-UA"/>
        </w:rPr>
        <w:t xml:space="preserve"> погоджується та ознайомлений із зміненим текстом Договору на туристичне обслуговування, та зобов’язується надавати туристам, які замовляють туристичні продукти туроператора актуальний текст Договору на туристичне обслуговування.</w:t>
      </w:r>
    </w:p>
    <w:p w:rsidR="00260C06" w:rsidRDefault="003877AD">
      <w:pPr>
        <w:spacing w:line="244" w:lineRule="auto"/>
        <w:ind w:right="20"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eastAsia="Arial" w:hAnsi="Arial" w:cs="Arial"/>
          <w:sz w:val="20"/>
          <w:szCs w:val="20"/>
          <w:lang w:val="uk-UA"/>
        </w:rPr>
        <w:t>3. У</w:t>
      </w:r>
      <w:r>
        <w:rPr>
          <w:rFonts w:ascii="Arial" w:hAnsi="Arial" w:cs="Arial"/>
          <w:sz w:val="20"/>
          <w:szCs w:val="20"/>
          <w:lang w:val="uk-UA"/>
        </w:rPr>
        <w:t xml:space="preserve"> зв’язку із настанням таких форс-мажорних обставин, як введення карантинних заходів та обмежень, пов’язаних із епідеміологічною обстановкою, викликаною поширенням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коронавірусу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covid</w:t>
      </w:r>
      <w:proofErr w:type="spellEnd"/>
      <w:r>
        <w:rPr>
          <w:rFonts w:ascii="Arial" w:hAnsi="Arial" w:cs="Arial"/>
          <w:sz w:val="20"/>
          <w:szCs w:val="20"/>
          <w:lang w:val="uk-UA"/>
        </w:rPr>
        <w:t>-19, сторони погодились, що після нормалізації епідеміологічної обстановки,</w:t>
      </w:r>
      <w:r>
        <w:rPr>
          <w:rFonts w:ascii="Arial" w:hAnsi="Arial" w:cs="Arial"/>
          <w:sz w:val="20"/>
          <w:szCs w:val="20"/>
          <w:lang w:val="uk-UA"/>
        </w:rPr>
        <w:t xml:space="preserve"> та зняття карантинних обмежень, попередньо заброньовані тури можуть бути перенесені на інші дати на розсуд туроператора. У випадках, коли вартість зміненого туру є вищою ніж вартість заброньованого туру, турист або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турагент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зобовязаний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перераховути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на рах</w:t>
      </w:r>
      <w:r>
        <w:rPr>
          <w:rFonts w:ascii="Arial" w:hAnsi="Arial" w:cs="Arial"/>
          <w:sz w:val="20"/>
          <w:szCs w:val="20"/>
          <w:lang w:val="uk-UA"/>
        </w:rPr>
        <w:t>унок туроператора доплату у відповідності до виставленого рахунку.</w:t>
      </w:r>
    </w:p>
    <w:p w:rsidR="00260C06" w:rsidRDefault="003877AD">
      <w:pPr>
        <w:spacing w:line="244" w:lineRule="auto"/>
        <w:ind w:right="20"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4. Сторони погодились, що на усі інші заброньовані тури, до країн, в яких не вводиться карантин чи епідеміологічні обмеження на в’їзд до країни спрямування, будуть проводитись. А відмови ту</w:t>
      </w:r>
      <w:r>
        <w:rPr>
          <w:rFonts w:ascii="Arial" w:hAnsi="Arial" w:cs="Arial"/>
          <w:sz w:val="20"/>
          <w:szCs w:val="20"/>
          <w:lang w:val="uk-UA"/>
        </w:rPr>
        <w:t xml:space="preserve">ристів від таких турів, не вважаються поважними, та не можуть вважатись підставою для звільнення туристів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агента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від сплати неустойки, пов’язаної із відмовою туриста від туристичного продукту. В такому випадку, неустойка та штрафні санкції стягуються на ум</w:t>
      </w:r>
      <w:r>
        <w:rPr>
          <w:rFonts w:ascii="Arial" w:hAnsi="Arial" w:cs="Arial"/>
          <w:sz w:val="20"/>
          <w:szCs w:val="20"/>
          <w:lang w:val="uk-UA"/>
        </w:rPr>
        <w:t>овах передбачених пунктами 6.2.3 та 6.2.4 Агентського договору, а також пунктом 5.5 Договору на туристичне обслуговування.</w:t>
      </w:r>
    </w:p>
    <w:p w:rsidR="003877AD" w:rsidRDefault="003877AD">
      <w:pPr>
        <w:spacing w:line="244" w:lineRule="auto"/>
        <w:ind w:right="20"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:rsidR="003877AD" w:rsidRDefault="003877AD">
      <w:pPr>
        <w:spacing w:line="244" w:lineRule="auto"/>
        <w:ind w:right="20" w:firstLine="709"/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Style w:val="a8"/>
        <w:tblW w:w="8625" w:type="dxa"/>
        <w:tblInd w:w="421" w:type="dxa"/>
        <w:tblLook w:val="04A0" w:firstRow="1" w:lastRow="0" w:firstColumn="1" w:lastColumn="0" w:noHBand="0" w:noVBand="1"/>
      </w:tblPr>
      <w:tblGrid>
        <w:gridCol w:w="4118"/>
        <w:gridCol w:w="4507"/>
      </w:tblGrid>
      <w:tr w:rsidR="00260C06" w:rsidTr="003877AD">
        <w:tc>
          <w:tcPr>
            <w:tcW w:w="4118" w:type="dxa"/>
          </w:tcPr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Туроператор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ТФ «Гал-Круїз» ПП «Ростик»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Адреса 79008 м. Львів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Вул. Братів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Рогатинців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12\10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uk-UA"/>
              </w:rPr>
              <w:t>. 032 225 72 70  Факс 032 225 72 55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Веб-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сайт: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gal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cruise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ua</w:t>
            </w:r>
            <w:proofErr w:type="spellEnd"/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5">
              <w:r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office@gal-cruise.com.ua</w:t>
              </w:r>
            </w:hyperlink>
          </w:p>
          <w:p w:rsidR="00260C06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ЗКПО 26360500</w:t>
            </w:r>
          </w:p>
          <w:p w:rsid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р\р UA723001190000026004004275001</w:t>
            </w:r>
          </w:p>
          <w:p w:rsid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в ПАТ«БАНК АЛЬЯНС"</w:t>
            </w: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р\р UA193057490000026003000013741</w:t>
            </w: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в АТ «БАНК КРЕДИТ ДНІПРО»</w:t>
            </w: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Генеральний Директор</w:t>
            </w:r>
          </w:p>
          <w:p w:rsidR="003877AD" w:rsidRP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16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Маскаль</w:t>
            </w:r>
            <w:proofErr w:type="spellEnd"/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 xml:space="preserve"> І.Т.</w:t>
            </w:r>
          </w:p>
          <w:p w:rsidR="003877AD" w:rsidRDefault="003877AD" w:rsidP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161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77AD">
              <w:rPr>
                <w:rFonts w:ascii="Arial" w:hAnsi="Arial" w:cs="Arial"/>
                <w:sz w:val="20"/>
                <w:szCs w:val="20"/>
                <w:lang w:val="uk-UA"/>
              </w:rPr>
              <w:t>_______________________</w:t>
            </w:r>
          </w:p>
          <w:p w:rsidR="00260C06" w:rsidRDefault="00260C06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507" w:type="dxa"/>
          </w:tcPr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Турагент</w:t>
            </w:r>
            <w:proofErr w:type="spellEnd"/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 особі директора: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3877AD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</w:t>
            </w:r>
          </w:p>
          <w:p w:rsidR="00260C06" w:rsidRDefault="00260C06">
            <w:pPr>
              <w:pStyle w:val="a7"/>
              <w:widowControl w:val="0"/>
              <w:tabs>
                <w:tab w:val="left" w:pos="1830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260C06" w:rsidRDefault="00260C06">
      <w:pPr>
        <w:spacing w:line="244" w:lineRule="auto"/>
        <w:ind w:right="20" w:firstLine="709"/>
        <w:jc w:val="both"/>
        <w:rPr>
          <w:rFonts w:ascii="Arial" w:hAnsi="Arial" w:cs="Arial"/>
          <w:sz w:val="20"/>
          <w:szCs w:val="20"/>
          <w:lang w:val="uk-UA"/>
        </w:rPr>
      </w:pPr>
    </w:p>
    <w:sectPr w:rsidR="00260C0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F7B37"/>
    <w:multiLevelType w:val="multilevel"/>
    <w:tmpl w:val="7C4612A0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6AD25AC3"/>
    <w:multiLevelType w:val="multilevel"/>
    <w:tmpl w:val="5FEE90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06"/>
    <w:rsid w:val="00260C06"/>
    <w:rsid w:val="003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8631-42F8-4F47-BB58-21B5C5B7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69D"/>
    <w:rPr>
      <w:color w:val="0563C1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5A069D"/>
    <w:pPr>
      <w:ind w:left="720"/>
      <w:contextualSpacing/>
    </w:pPr>
  </w:style>
  <w:style w:type="table" w:styleId="a8">
    <w:name w:val="Table Grid"/>
    <w:basedOn w:val="a1"/>
    <w:uiPriority w:val="39"/>
    <w:rsid w:val="005A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gal-cruis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4603</Words>
  <Characters>2625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Paladin</dc:creator>
  <dc:description/>
  <cp:lastModifiedBy>fushet24 greis</cp:lastModifiedBy>
  <cp:revision>3</cp:revision>
  <dcterms:created xsi:type="dcterms:W3CDTF">2020-03-16T16:26:00Z</dcterms:created>
  <dcterms:modified xsi:type="dcterms:W3CDTF">2020-07-07T13:25:00Z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